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textAlignment w:val="center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 xml:space="preserve">ЛІЦЕНЗІЙНИЙ 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uk-UA" w:eastAsia="ru-RU"/>
        </w:rPr>
        <w:t xml:space="preserve">ПУБЛІЧНИЙ 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ДОГОВІР</w:t>
        <w:br/>
      </w: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lang w:eastAsia="ru-RU"/>
        </w:rPr>
        <w:t>на право використання</w:t>
      </w: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lang w:val="uk-UA" w:eastAsia="ru-RU"/>
        </w:rPr>
        <w:t xml:space="preserve"> програмного продукту «AKFace»</w:t>
      </w:r>
    </w:p>
    <w:p>
      <w:pPr>
        <w:pStyle w:val="Normal"/>
        <w:spacing w:lineRule="auto" w:line="240" w:before="0" w:after="0"/>
        <w:ind w:left="284" w:hanging="0"/>
        <w:jc w:val="center"/>
        <w:textAlignment w:val="center"/>
        <w:rPr>
          <w:rFonts w:ascii="Times New Roman" w:hAnsi="Times New Roman" w:eastAsia="Times New Roman" w:cs="Times New Roman"/>
          <w:b/>
          <w:b/>
          <w:bCs/>
          <w:color w:val="333333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uk-UA" w:eastAsia="ru-RU"/>
        </w:rPr>
      </w:r>
    </w:p>
    <w:p>
      <w:pPr>
        <w:pStyle w:val="Standard"/>
        <w:spacing w:lineRule="auto" w:line="240" w:before="0" w:after="0"/>
        <w:ind w:firstLine="1134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  <w:lang w:val="uk-UA"/>
        </w:rPr>
        <w:t xml:space="preserve">ТОВАРИСТВО З ОБМЕЖЕНОЮ ВІДПОВІДАЛЬНІСТЮ “АВТОКРЕДИТ ПЛЮС” Ідентифікаційний код: 34410930,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м</w:t>
      </w:r>
      <w:r>
        <w:rPr>
          <w:rFonts w:cs="Times New Roman" w:ascii="Times New Roman" w:hAnsi="Times New Roman"/>
          <w:color w:val="00000A"/>
          <w:sz w:val="24"/>
          <w:szCs w:val="24"/>
          <w:lang w:val="uk-UA"/>
        </w:rPr>
        <w:t xml:space="preserve">ісцезнаходження: 49126, м.Дніпро, пр.Праці, будинок 2Т,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(надалі - Ліцензіар), якому належить виключне право на використання програмного продукту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 (он-лайн сервіс для автоматизації бізнес-процесів), як об'єкта права інтелектуальної власності, у відповідності до ст.ст. 633, 634, 638-642, 1109 Цивільного Кодексу України відкрито пропонує необмеженому колу осіб укласти даний Ліцензійний публічний договір (надалі – Договір або Ліцензійний договір) на викладених нижче умовах.</w:t>
      </w:r>
    </w:p>
    <w:p>
      <w:pPr>
        <w:pStyle w:val="Normal"/>
        <w:spacing w:lineRule="auto" w:line="240" w:before="0" w:after="0"/>
        <w:jc w:val="center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1. Загальні положення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>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</w:r>
    </w:p>
    <w:p>
      <w:pPr>
        <w:pStyle w:val="Standard"/>
        <w:numPr>
          <w:ilvl w:val="0"/>
          <w:numId w:val="0"/>
        </w:numPr>
        <w:tabs>
          <w:tab w:val="clear" w:pos="708"/>
          <w:tab w:val="left" w:pos="1701" w:leader="none"/>
        </w:tabs>
        <w:spacing w:lineRule="auto" w:line="240" w:before="0" w:after="0"/>
        <w:ind w:left="2629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Ліцензійним договором визначається порядок надання </w:t>
      </w: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lang w:eastAsia="ru-RU"/>
        </w:rPr>
        <w:t>прав</w:t>
      </w: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lang w:val="uk-UA" w:eastAsia="ru-RU"/>
        </w:rPr>
        <w:t>а на</w:t>
      </w: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lang w:eastAsia="ru-RU"/>
        </w:rPr>
        <w:t xml:space="preserve"> використання</w:t>
      </w: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програмного продукту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», що являє собою он-лайн сервіс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автоматизації бізнес-процесів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(результат комп’ютерного програмування у віддаленому доступі), як об’єкта права інтелектуальної власності (далі – «Програмний продукт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»). Текст даного Ліцензійного договору, опис та функціональні можливості Програмного продукту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» постійно доступні за адресою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val="uk-UA" w:eastAsia="ru-RU"/>
          </w:rPr>
          <w:t>https://akface.com.ua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firstLine="1134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Ліцензіар за цим Договором передає, а Ліцензіат приймає невиключні майнові права на строкове платне використання Програмного продукту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  в обсязі та на умовах, визначених даним Ліцензійним договором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Невиключні майнові права (невиключна ліцензія) надаються за даним Договором Ліцензіату без права передачі третім особам.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560" w:leader="none"/>
        </w:tabs>
        <w:spacing w:lineRule="auto" w:line="240" w:before="0" w:after="0"/>
        <w:ind w:left="0" w:firstLine="1134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Ліцензіар передає, а Ліцензіат отримує право використання Програмного продукту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 за його функціональним призначенням, в тому числі, шляхом його використання з іншим програмним забезпеченням (його компонентами, засобами криптографічного захисту інформації).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firstLine="1134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Після проведення оплати згідно розділу 3 Договору,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особа, яка пров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ела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таку оплату,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стає Ліцензіатом за цим Договором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має право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отрим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ання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прав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використання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рограмного продукту «AKFace»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як об'єкта права інтелектуальної власності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(невиключну ліцензію)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1.5. Проведення оплати згідно розділу 3 Договору означає безумовне та повне погодження Ліцензіата з усіма умовами цього Договору та приєднання Ліцензіата до нього, а також про ознайомлення та погодження Ліцензіата із всіма функціональними можливостями та особливостями Програмного продукту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1.6. Вказані у п.1.2 цього Ліцензійного договору невиключні права (невиключна ліцензія) за даним Договором надаються для використання в межах митної території України. 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Ліцензіар гарантує, що строк, на який Ліцензіату передаються права за цим Ліцензійним договором, спливає раніше, ніж спливає строк чинності виключних майнових прав Ліцензіара на Програмний продукт.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На підтвердження перед третіми особами обсягу та дійсності прав, визначених п.1.2. цього Ліцензійного договору, Ліцензіар може, але не зобов'язаний видавати Ліцензіату ліцензію, як окремий документ. Цей договір є достатнім підтвердженням того, що Ліцензіат має невиключні права на використання Програмного продукту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своїй господарській діяльності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невиключну 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іцензію).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1.9. Укладення даного Договору не обмежує права Ліцензіара на Програмний продукт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»,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не виключає можливості будь якого використання Ліцензіаром Програмного продукту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», в тому числі, не обмежує право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укладення Ліцензіаром ліцензійних договорів з іншими особами (видачі іншим особам невиключних ліцензій) на використання Програмного продукту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1.10. Не допускається продаж або будь яке інше відчуження Ліцензіатом отриманих за даним Договором прав. Укладення субліцензійного договору Ліцензіатом не допускається.</w:t>
      </w:r>
    </w:p>
    <w:p>
      <w:pPr>
        <w:pStyle w:val="Normal"/>
        <w:spacing w:lineRule="auto" w:line="240" w:before="0" w:after="0"/>
        <w:ind w:firstLine="1134"/>
        <w:jc w:val="center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 Порядок переда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>чі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 xml:space="preserve">невиключних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прав та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>використання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Програмного продукту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 xml:space="preserve"> «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>».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2.1.Програмний продукт «AKFace»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надається Ліцензіату шляхом надання доступу до серверу за допомогою програмного токену (ключ доступу). Токен формується в особистому кабінеті користувача онлайн-сервісу «AKFace»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самостійно Ліцензіатом для кожного співробітника окремо. 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або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Доступ Ліцензіата до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Програмного продукту «AKFace»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здійснюється через веб-сайт </w:t>
      </w:r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val="uk-UA" w:eastAsia="ru-RU"/>
          </w:rPr>
          <w:t>https://akface.com.ua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за допомогою реєстраційного імені та паролю, які Ліцензіар надсилає Ліцензіату на його адресу електронної пошти протягом 1 робочого дня з дати отримання від Ліцензіата оплати згідно розділу 3 даного Договору.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2.2. Ліцензіат зобов'язаний: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2.2.1. до здійснення оплати згідно розділу 3 цього Договору ознайомитись із Програмним продуктом «AKFace» та з умовами даного Договору на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веб-сайті </w:t>
      </w:r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val="uk-UA" w:eastAsia="ru-RU"/>
          </w:rPr>
          <w:t>https://akface.com.ua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2.2.2.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після здійснення оплати згідно розділу 3 цього Договору, повідомити Ліцензіару свою адресу електронної пошти та підписати наданий Ліцензіаром Акт приймання-передачі невиключних майнових прав;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2.2.3. забезпечити наявність власного або орендованого обладнання, що за своїми технічними, у тому числі супутніми програмними властивостями відповід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ає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вимогам, висунутим Ліцензіаром до такого обладнання.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2.2. Ліцензіар зобов'язаний: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2.2.1.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формувати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та направити Ліцензіату рахунок на оплату згідно розділу 3 даного Договору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2.2.2.після здійснення Ліцензіатом оплати згідно розділу 3 цього Договору, направити реєстраційне ім’я та пароль для користування Програмним продуктом «AKFace» на адресу електронної пошти, повідомленої Ліцензіатом, та підписати Акт приймання-передачі невиключних майнових прав.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 Акт приймання-передачі невиключних майнових прав є невід'ємною частиною цього Ліцензійного договору.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2.4. З моменту підписання Акту прийому-передачі невиключних майнових прав Ліцензіат отримує право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використання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Програмн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продукту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«AKFace»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center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 xml:space="preserve">Плата за використання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Програмного продукту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 xml:space="preserve"> «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>», як об’єкта права інтелектуальної власності, строк Договору.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3.1. Розмір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плати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за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невиключне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право використання Програмного продукту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«AKFace» (роялті) за даним Ліцензійним договором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становить _________________________ на рік (надалі - Винагорода). 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3.2. Виплата Винагороди за цим Договором здійснюється у гривнях на підставі рахунків Ліцензіара, шляхом безготівкового переказу коштів на банківський рахунок Ліцензіара.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Ліцензіат здійснює оплату на підставі рахунку протягом 3 (трьох) робочих днів з моменту отримання такого рахунку.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3.3. Після першої повної оплати Ліцензіатом Винагороди,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трок дії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даного Договору (н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евиключної ліцензії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становить один рік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з дати здійснення оплати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3.4.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Ліцензіат має право продовжити строк дії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даного Договору (не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виключної ліцензії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шляхом оплати рахунку на продовження строку дії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Договору (не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виключної ліцензії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), який Ліцензіар має направити Ліцензіату до закінчення строку дії даного Договору (невиключної ліцінзії)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Продовження строку дії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Договору (не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виключної ліцензії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потребує додаткового оформлення і право на використання Програмного продукту продовжується на відповідний оплачений період.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3.5. Обов'язок Ліцензіата з виплати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инагороди Ліцензіару за продовження дії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Договору (не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виключної ліцензії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 відповідний період вважатиметься таким, що виконаний в повному обсязі, після здійснення банківського переказу на рахунок Ліцензіара.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3.6. Ліцензіар протягом 5 (п'яти) робочих днів після отримання оплати від Ліцензіата за продовження дії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Договору (не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виключної ліцензії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наступний період надає Ліцензіату Акт про підтвердження факту надання прав на використання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рограмного продукту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 на відповідний період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який Ліцензіат повинен прийняти та підписати протягом 3 (трьох) робочих днів з дати отримання Акту від Ліцензіару.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3.7. Розмір винагороди за право використання Програмного продукту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»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протягом звітного місяця визначається в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val="uk-UA" w:eastAsia="ru-RU"/>
        </w:rPr>
        <w:t xml:space="preserve">окремому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Акті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val="uk-UA" w:eastAsia="ru-RU"/>
        </w:rPr>
        <w:t xml:space="preserve">про надане невиключне право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використання Програмного продукту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» у звітному місяці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, який оформляється Ліцензіаром щомісячно у вигляді електронного документу та передається на підпис Ліцензіату до 05 числа місяця, що слідує за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val="uk-UA" w:eastAsia="ru-RU"/>
        </w:rPr>
        <w:t>звітним,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 з розрахунком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val="uk-UA" w:eastAsia="ru-RU"/>
        </w:rPr>
        <w:t>відповідної частини винагороди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val="uk-UA" w:eastAsia="ru-RU"/>
        </w:rPr>
        <w:t>за звітний місяць від загального річного розміру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 xml:space="preserve"> винагороди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color w:val="1D1C1D"/>
          <w:sz w:val="24"/>
          <w:szCs w:val="24"/>
          <w:lang w:eastAsia="ru-RU"/>
        </w:rPr>
        <w:t>встановленої пунктом 3.1 цього Договору.</w:t>
      </w:r>
    </w:p>
    <w:p>
      <w:pPr>
        <w:pStyle w:val="Normal"/>
        <w:spacing w:lineRule="auto" w:line="240" w:before="0" w:after="0"/>
        <w:ind w:firstLine="1134"/>
        <w:jc w:val="center"/>
        <w:textAlignment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textAlignment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>П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рикінцеві положення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 w:eastAsia="ru-RU"/>
        </w:rPr>
        <w:t>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Дія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Даного договору (невиключної ліцензії)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використання Програмного продукту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AKFace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припиняється, а Ліцензіат позбавляється права на використання Програмного продукту: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4.1.1.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у випадку б</w:t>
      </w: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 xml:space="preserve">удь-якого посягання на права Ліцензіара, як власника виключних прав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продукт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«AKFace»</w:t>
      </w: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, в тому числі вчинення без його згоди дій, що потребують його згоди або готування до вчинення таких дій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;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4.1.2. у випадку порушення Ліцензіатом зобов'язань встановлених цим Договором;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4.1.3.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у випадку несплати Ліцензіатом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инагороди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довження строку дії Ліцензійного договору (невиключної ліцензії)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4.2.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ором та відповідними нормами чинного законодавства України.</w:t>
      </w:r>
    </w:p>
    <w:p>
      <w:pPr>
        <w:pStyle w:val="Normal"/>
        <w:spacing w:lineRule="auto" w:line="240" w:before="0" w:after="0"/>
        <w:ind w:firstLine="113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4.3.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Ліцензіар є платник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податку на прибуток підприємств на загальних підставах.</w:t>
      </w:r>
    </w:p>
    <w:p>
      <w:pPr>
        <w:pStyle w:val="Normal"/>
        <w:widowControl/>
        <w:bidi w:val="0"/>
        <w:spacing w:lineRule="auto" w:line="240" w:before="0" w:after="0"/>
        <w:ind w:left="0" w:right="0" w:firstLine="1134"/>
        <w:jc w:val="left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4.4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Ця заява набирає чинності з моменту її підписання обома сторонами за допомогою </w:t>
        <w:tab/>
        <w:tab/>
        <w:t>накладання електронного цифорвого підпису.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ab/>
        <w:t xml:space="preserve">       4.5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Ця заява складена українською мовою у електронному вигляді та підписана </w:t>
        <w:tab/>
        <w:tab/>
        <w:tab/>
        <w:t>сторонами шляхом накладання електронного цифрового підпису</w:t>
      </w:r>
    </w:p>
    <w:p>
      <w:pPr>
        <w:pStyle w:val="Normal"/>
        <w:spacing w:lineRule="auto" w:line="240" w:before="0" w:after="0"/>
        <w:ind w:firstLine="1134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993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2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72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769a4"/>
    <w:rPr>
      <w:color w:val="0563C1" w:themeColor="hyperlink"/>
      <w:u w:val="single"/>
    </w:rPr>
  </w:style>
  <w:style w:type="character" w:styleId="Style15" w:customStyle="1">
    <w:name w:val="Основной текст Знак"/>
    <w:basedOn w:val="DefaultParagraphFont"/>
    <w:link w:val="a5"/>
    <w:qFormat/>
    <w:rsid w:val="00b82484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7">
    <w:name w:val="Body Text"/>
    <w:basedOn w:val="Normal"/>
    <w:link w:val="a6"/>
    <w:rsid w:val="00b82484"/>
    <w:pPr>
      <w:widowControl w:val="false"/>
      <w:tabs>
        <w:tab w:val="clear" w:pos="708"/>
        <w:tab w:val="left" w:pos="567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List">
    <w:name w:val="List"/>
    <w:basedOn w:val="Style17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fd5db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96"/>
      <w:szCs w:val="96"/>
      <w:lang w:eastAsia="ar-SA" w:val="ru-RU" w:bidi="ar-SA"/>
    </w:rPr>
  </w:style>
  <w:style w:type="paragraph" w:styleId="ListParagraph">
    <w:name w:val="List Paragraph"/>
    <w:basedOn w:val="Normal"/>
    <w:uiPriority w:val="34"/>
    <w:qFormat/>
    <w:rsid w:val="00ec1ac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kface.com.ua/" TargetMode="External"/><Relationship Id="rId3" Type="http://schemas.openxmlformats.org/officeDocument/2006/relationships/hyperlink" Target="https://akface.com.ua/" TargetMode="External"/><Relationship Id="rId4" Type="http://schemas.openxmlformats.org/officeDocument/2006/relationships/hyperlink" Target="https://akface.com.u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Application>LibreOffice/6.4.7.2$MacOSX_X86_64 LibreOffice_project/639b8ac485750d5696d7590a72ef1b496725cfb5</Application>
  <Pages>3</Pages>
  <Words>1137</Words>
  <Characters>8035</Characters>
  <CharactersWithSpaces>9150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2022-04-18T07:07:00Z</dcterms:created>
  <dc:creator>User</dc:creator>
  <dc:description/>
  <dc:language>ru-RU</dc:language>
  <cp:lastModifiedBy/>
  <dcterms:modified xsi:type="dcterms:W3CDTF">2022-05-05T09:22:05Z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